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B5" w:rsidRDefault="004252B5" w:rsidP="004252B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225EB">
        <w:rPr>
          <w:rFonts w:ascii="Arial" w:hAnsi="Arial" w:cs="Arial"/>
          <w:sz w:val="22"/>
          <w:szCs w:val="22"/>
        </w:rPr>
        <w:t xml:space="preserve">The goal of the </w:t>
      </w:r>
      <w:smartTag w:uri="urn:schemas-microsoft-com:office:smarttags" w:element="State">
        <w:r w:rsidRPr="006225EB">
          <w:rPr>
            <w:rFonts w:ascii="Arial" w:hAnsi="Arial" w:cs="Arial"/>
            <w:i/>
            <w:sz w:val="22"/>
            <w:szCs w:val="22"/>
          </w:rPr>
          <w:t>Queensland</w:t>
        </w:r>
      </w:smartTag>
      <w:r w:rsidRPr="006225EB">
        <w:rPr>
          <w:rFonts w:ascii="Arial" w:hAnsi="Arial" w:cs="Arial"/>
          <w:i/>
          <w:sz w:val="22"/>
          <w:szCs w:val="22"/>
        </w:rPr>
        <w:t xml:space="preserve"> Drug Strategy</w:t>
      </w:r>
      <w:r>
        <w:rPr>
          <w:rFonts w:ascii="Arial" w:hAnsi="Arial" w:cs="Arial"/>
          <w:i/>
          <w:sz w:val="22"/>
          <w:szCs w:val="22"/>
        </w:rPr>
        <w:t xml:space="preserve"> 2006-2010</w:t>
      </w:r>
      <w:r>
        <w:rPr>
          <w:rFonts w:ascii="Arial" w:hAnsi="Arial" w:cs="Arial"/>
          <w:sz w:val="22"/>
          <w:szCs w:val="22"/>
        </w:rPr>
        <w:t>,</w:t>
      </w:r>
      <w:r w:rsidRPr="006225E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ate">
        <w:r w:rsidRPr="006225EB">
          <w:rPr>
            <w:rFonts w:ascii="Arial" w:hAnsi="Arial" w:cs="Arial"/>
            <w:sz w:val="22"/>
            <w:szCs w:val="22"/>
          </w:rPr>
          <w:t>Queensland</w:t>
        </w:r>
      </w:smartTag>
      <w:r w:rsidRPr="006225EB">
        <w:rPr>
          <w:rFonts w:ascii="Arial" w:hAnsi="Arial" w:cs="Arial"/>
          <w:sz w:val="22"/>
          <w:szCs w:val="22"/>
        </w:rPr>
        <w:t>’s whole-of-Government policy for addressing drug issues</w:t>
      </w:r>
      <w:r>
        <w:rPr>
          <w:rFonts w:ascii="Arial" w:hAnsi="Arial" w:cs="Arial"/>
          <w:sz w:val="22"/>
          <w:szCs w:val="22"/>
        </w:rPr>
        <w:t>,</w:t>
      </w:r>
      <w:r w:rsidRPr="006225EB">
        <w:rPr>
          <w:rFonts w:ascii="Arial" w:hAnsi="Arial" w:cs="Arial"/>
          <w:sz w:val="22"/>
          <w:szCs w:val="22"/>
        </w:rPr>
        <w:t xml:space="preserve"> is to improve health, social and economic outcomes by preventing the uptake of harmful drug use and reducing the harmful effects of licit and illicit drugs in </w:t>
      </w:r>
      <w:smartTag w:uri="urn:schemas-microsoft-com:office:smarttags" w:element="place">
        <w:smartTag w:uri="urn:schemas-microsoft-com:office:smarttags" w:element="State">
          <w:r w:rsidRPr="006225E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6225EB">
        <w:rPr>
          <w:rFonts w:ascii="Arial" w:hAnsi="Arial" w:cs="Arial"/>
          <w:sz w:val="22"/>
          <w:szCs w:val="22"/>
        </w:rPr>
        <w:t xml:space="preserve">. </w:t>
      </w:r>
    </w:p>
    <w:p w:rsidR="004252B5" w:rsidRPr="006225EB" w:rsidRDefault="004252B5" w:rsidP="004252B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 xml:space="preserve">The Strategy outlines and assists with the coordination of Queensland Government programs and initiatives, and reaffirms the importance of non-government service providers. </w:t>
      </w:r>
    </w:p>
    <w:p w:rsidR="004252B5" w:rsidRPr="006225EB" w:rsidRDefault="004252B5" w:rsidP="004252B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>Recent key achievements include</w:t>
      </w:r>
      <w:r>
        <w:rPr>
          <w:rFonts w:ascii="Arial" w:hAnsi="Arial" w:cs="Arial"/>
          <w:sz w:val="22"/>
          <w:szCs w:val="22"/>
        </w:rPr>
        <w:t>:</w:t>
      </w:r>
      <w:r w:rsidRPr="006225EB">
        <w:rPr>
          <w:rFonts w:ascii="Arial" w:hAnsi="Arial" w:cs="Arial"/>
          <w:sz w:val="22"/>
          <w:szCs w:val="22"/>
        </w:rPr>
        <w:t xml:space="preserve"> </w:t>
      </w:r>
    </w:p>
    <w:p w:rsidR="004252B5" w:rsidRPr="006225EB" w:rsidRDefault="004252B5" w:rsidP="004252B5">
      <w:pPr>
        <w:numPr>
          <w:ilvl w:val="0"/>
          <w:numId w:val="14"/>
        </w:numPr>
        <w:spacing w:before="4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 xml:space="preserve">a comprehensive review of </w:t>
      </w:r>
      <w:smartTag w:uri="urn:schemas-microsoft-com:office:smarttags" w:element="place">
        <w:smartTag w:uri="urn:schemas-microsoft-com:office:smarttags" w:element="State">
          <w:r w:rsidRPr="006225E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6225EB">
        <w:rPr>
          <w:rFonts w:ascii="Arial" w:hAnsi="Arial" w:cs="Arial"/>
          <w:sz w:val="22"/>
          <w:szCs w:val="22"/>
        </w:rPr>
        <w:t xml:space="preserve">’s </w:t>
      </w:r>
      <w:r w:rsidRPr="006225EB">
        <w:rPr>
          <w:rFonts w:ascii="Arial" w:hAnsi="Arial" w:cs="Arial"/>
          <w:i/>
          <w:sz w:val="22"/>
          <w:szCs w:val="22"/>
        </w:rPr>
        <w:t>Liquor Act</w:t>
      </w:r>
      <w:r w:rsidRPr="006225EB">
        <w:rPr>
          <w:rFonts w:ascii="Arial" w:hAnsi="Arial" w:cs="Arial"/>
          <w:sz w:val="22"/>
          <w:szCs w:val="22"/>
        </w:rPr>
        <w:t xml:space="preserve"> </w:t>
      </w:r>
      <w:r w:rsidRPr="006225EB">
        <w:rPr>
          <w:rFonts w:ascii="Arial" w:hAnsi="Arial" w:cs="Arial"/>
          <w:i/>
          <w:sz w:val="22"/>
          <w:szCs w:val="22"/>
        </w:rPr>
        <w:t xml:space="preserve">1992 </w:t>
      </w:r>
      <w:r w:rsidRPr="006225EB">
        <w:rPr>
          <w:rFonts w:ascii="Arial" w:hAnsi="Arial" w:cs="Arial"/>
          <w:sz w:val="22"/>
          <w:szCs w:val="22"/>
        </w:rPr>
        <w:t xml:space="preserve">and endorsement of significant Liquor Reforms, </w:t>
      </w:r>
    </w:p>
    <w:p w:rsidR="004252B5" w:rsidRPr="006225EB" w:rsidRDefault="004252B5" w:rsidP="004252B5">
      <w:pPr>
        <w:numPr>
          <w:ilvl w:val="0"/>
          <w:numId w:val="14"/>
        </w:numPr>
        <w:spacing w:before="4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 xml:space="preserve">the commencement of smoking bans for indoor and outdoor public places, </w:t>
      </w:r>
    </w:p>
    <w:p w:rsidR="004252B5" w:rsidRPr="006225EB" w:rsidRDefault="004252B5" w:rsidP="004252B5">
      <w:pPr>
        <w:numPr>
          <w:ilvl w:val="0"/>
          <w:numId w:val="14"/>
        </w:numPr>
        <w:spacing w:before="4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 xml:space="preserve">Alcohol Reforms in 19 discrete </w:t>
      </w:r>
      <w:r>
        <w:rPr>
          <w:rFonts w:ascii="Arial" w:hAnsi="Arial" w:cs="Arial"/>
          <w:sz w:val="22"/>
          <w:szCs w:val="22"/>
        </w:rPr>
        <w:t xml:space="preserve">Indigenous </w:t>
      </w:r>
      <w:r w:rsidRPr="006225EB">
        <w:rPr>
          <w:rFonts w:ascii="Arial" w:hAnsi="Arial" w:cs="Arial"/>
          <w:sz w:val="22"/>
          <w:szCs w:val="22"/>
        </w:rPr>
        <w:t xml:space="preserve">communities, </w:t>
      </w:r>
    </w:p>
    <w:p w:rsidR="004252B5" w:rsidRPr="006225EB" w:rsidRDefault="004252B5" w:rsidP="004252B5">
      <w:pPr>
        <w:numPr>
          <w:ilvl w:val="0"/>
          <w:numId w:val="14"/>
        </w:numPr>
        <w:spacing w:before="4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 xml:space="preserve">Project STOP which targets pseudoephedrine diversion to the illicit marketplace, and </w:t>
      </w:r>
    </w:p>
    <w:p w:rsidR="004252B5" w:rsidRPr="006225EB" w:rsidRDefault="004252B5" w:rsidP="004252B5">
      <w:pPr>
        <w:numPr>
          <w:ilvl w:val="0"/>
          <w:numId w:val="14"/>
        </w:numPr>
        <w:spacing w:before="4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25EB">
        <w:rPr>
          <w:rFonts w:ascii="Arial" w:hAnsi="Arial" w:cs="Arial"/>
          <w:sz w:val="22"/>
          <w:szCs w:val="22"/>
        </w:rPr>
        <w:t>the implementation of successful social marketing campaigns.</w:t>
      </w:r>
    </w:p>
    <w:p w:rsidR="004252B5" w:rsidRPr="00A95896" w:rsidRDefault="004252B5" w:rsidP="004252B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A95896">
        <w:rPr>
          <w:rFonts w:ascii="Arial" w:hAnsi="Arial" w:cs="Arial"/>
          <w:sz w:val="22"/>
          <w:szCs w:val="22"/>
        </w:rPr>
        <w:t xml:space="preserve">the report on the implementation of the </w:t>
      </w:r>
      <w:r w:rsidRPr="00A95896">
        <w:rPr>
          <w:rFonts w:ascii="Arial" w:hAnsi="Arial" w:cs="Arial"/>
          <w:i/>
          <w:sz w:val="22"/>
          <w:szCs w:val="22"/>
        </w:rPr>
        <w:t>Queensland Drug Strategy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7706A" w:rsidRPr="00C45EB1" w:rsidRDefault="005D0887" w:rsidP="004252B5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C7706A" w:rsidRPr="004252B5">
          <w:rPr>
            <w:rStyle w:val="Hyperlink"/>
            <w:rFonts w:ascii="Arial" w:hAnsi="Arial" w:cs="Arial"/>
            <w:sz w:val="22"/>
            <w:szCs w:val="22"/>
          </w:rPr>
          <w:t>Queensland Drug Strategy 2006-2010 Midpoint Implementation Report</w:t>
        </w:r>
      </w:hyperlink>
    </w:p>
    <w:p w:rsidR="000B545C" w:rsidRPr="00C45EB1" w:rsidRDefault="000B545C" w:rsidP="00C7706A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0B545C" w:rsidRPr="00C45EB1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82" w:rsidRDefault="008F4482">
      <w:r>
        <w:separator/>
      </w:r>
    </w:p>
  </w:endnote>
  <w:endnote w:type="continuationSeparator" w:id="0">
    <w:p w:rsidR="008F4482" w:rsidRDefault="008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82" w:rsidRDefault="008F4482">
      <w:r>
        <w:separator/>
      </w:r>
    </w:p>
  </w:footnote>
  <w:footnote w:type="continuationSeparator" w:id="0">
    <w:p w:rsidR="008F4482" w:rsidRDefault="008F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2303E9" w:rsidP="0086420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95896">
      <w:rPr>
        <w:rFonts w:ascii="Arial" w:hAnsi="Arial" w:cs="Arial"/>
        <w:b/>
        <w:sz w:val="22"/>
        <w:szCs w:val="22"/>
        <w:u w:val="single"/>
      </w:rPr>
      <w:t>September 2008</w:t>
    </w:r>
  </w:p>
  <w:p w:rsidR="008F44CD" w:rsidRDefault="00A9589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 w:rsidRPr="00A95896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A95896">
      <w:rPr>
        <w:rFonts w:ascii="Arial" w:hAnsi="Arial" w:cs="Arial"/>
        <w:b/>
        <w:i/>
        <w:sz w:val="22"/>
        <w:szCs w:val="22"/>
        <w:u w:val="single"/>
      </w:rPr>
      <w:t xml:space="preserve"> Drug Strategy 2006-2010</w:t>
    </w:r>
  </w:p>
  <w:p w:rsidR="008F44CD" w:rsidRDefault="00A9589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8F44CD" w:rsidRPr="000400F9" w:rsidRDefault="008F44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4"/>
    <w:multiLevelType w:val="singleLevel"/>
    <w:tmpl w:val="755E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81C82"/>
    <w:multiLevelType w:val="hybridMultilevel"/>
    <w:tmpl w:val="BA64355A"/>
    <w:lvl w:ilvl="0" w:tplc="3B26922E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42E37"/>
    <w:multiLevelType w:val="hybridMultilevel"/>
    <w:tmpl w:val="82A0BAA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62D5BDA"/>
    <w:multiLevelType w:val="hybridMultilevel"/>
    <w:tmpl w:val="02F494B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4E"/>
    <w:rsid w:val="00021B34"/>
    <w:rsid w:val="000400F9"/>
    <w:rsid w:val="00095032"/>
    <w:rsid w:val="000B1B31"/>
    <w:rsid w:val="000B545C"/>
    <w:rsid w:val="001141E1"/>
    <w:rsid w:val="00133013"/>
    <w:rsid w:val="00133A34"/>
    <w:rsid w:val="001447D9"/>
    <w:rsid w:val="00150370"/>
    <w:rsid w:val="00160524"/>
    <w:rsid w:val="002228BF"/>
    <w:rsid w:val="002303E9"/>
    <w:rsid w:val="00245F4E"/>
    <w:rsid w:val="00254E35"/>
    <w:rsid w:val="0028053C"/>
    <w:rsid w:val="002F57E4"/>
    <w:rsid w:val="0032048B"/>
    <w:rsid w:val="00346156"/>
    <w:rsid w:val="00382380"/>
    <w:rsid w:val="003A269C"/>
    <w:rsid w:val="003C3732"/>
    <w:rsid w:val="004252B5"/>
    <w:rsid w:val="00435BE5"/>
    <w:rsid w:val="00453E30"/>
    <w:rsid w:val="004731C8"/>
    <w:rsid w:val="0048019C"/>
    <w:rsid w:val="00486A99"/>
    <w:rsid w:val="004E6C38"/>
    <w:rsid w:val="00554862"/>
    <w:rsid w:val="0056401D"/>
    <w:rsid w:val="005B1D9B"/>
    <w:rsid w:val="005D0887"/>
    <w:rsid w:val="006100CC"/>
    <w:rsid w:val="006225EB"/>
    <w:rsid w:val="00644076"/>
    <w:rsid w:val="006631CF"/>
    <w:rsid w:val="006B3B54"/>
    <w:rsid w:val="006D0869"/>
    <w:rsid w:val="006E6713"/>
    <w:rsid w:val="007060D7"/>
    <w:rsid w:val="00724B14"/>
    <w:rsid w:val="00726F36"/>
    <w:rsid w:val="007A25F4"/>
    <w:rsid w:val="007A6599"/>
    <w:rsid w:val="007F52D6"/>
    <w:rsid w:val="00816F38"/>
    <w:rsid w:val="0082040E"/>
    <w:rsid w:val="00845D3E"/>
    <w:rsid w:val="00864200"/>
    <w:rsid w:val="008A5F1B"/>
    <w:rsid w:val="008B7E17"/>
    <w:rsid w:val="008F4482"/>
    <w:rsid w:val="008F44CD"/>
    <w:rsid w:val="00922A5B"/>
    <w:rsid w:val="009A5F50"/>
    <w:rsid w:val="009D0C12"/>
    <w:rsid w:val="009F4A34"/>
    <w:rsid w:val="009F5476"/>
    <w:rsid w:val="00A20C0E"/>
    <w:rsid w:val="00A30F55"/>
    <w:rsid w:val="00A95896"/>
    <w:rsid w:val="00AA128C"/>
    <w:rsid w:val="00AB6637"/>
    <w:rsid w:val="00AC0832"/>
    <w:rsid w:val="00AE1995"/>
    <w:rsid w:val="00AF03BE"/>
    <w:rsid w:val="00B40BDF"/>
    <w:rsid w:val="00B8586E"/>
    <w:rsid w:val="00C07656"/>
    <w:rsid w:val="00C45EB1"/>
    <w:rsid w:val="00C7706A"/>
    <w:rsid w:val="00C85B71"/>
    <w:rsid w:val="00CE6FBA"/>
    <w:rsid w:val="00D35505"/>
    <w:rsid w:val="00DD3CD5"/>
    <w:rsid w:val="00DD497C"/>
    <w:rsid w:val="00DE3A06"/>
    <w:rsid w:val="00E40E59"/>
    <w:rsid w:val="00E463C2"/>
    <w:rsid w:val="00EA00BF"/>
    <w:rsid w:val="00EA4A07"/>
    <w:rsid w:val="00EB1907"/>
    <w:rsid w:val="00F70BFF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">
    <w:name w:val="Char"/>
    <w:basedOn w:val="Normal"/>
    <w:rsid w:val="00C45E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42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%20Drug%20Strategy%20midpoint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1052</CharactersWithSpaces>
  <SharedDoc>false</SharedDoc>
  <HyperlinkBase>https://www.cabinet.qld.gov.au/documents/2008/Sep/report drug strategy/</HyperlinkBase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attachments/Qld Drug Strategy midpoint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Volatile substance,binge drinking</cp:keywords>
  <dc:description/>
  <cp:lastModifiedBy/>
  <cp:revision>2</cp:revision>
  <cp:lastPrinted>2008-12-03T00:35:00Z</cp:lastPrinted>
  <dcterms:created xsi:type="dcterms:W3CDTF">2017-10-24T07:47:00Z</dcterms:created>
  <dcterms:modified xsi:type="dcterms:W3CDTF">2018-03-06T00:54:00Z</dcterms:modified>
  <cp:category>Drugs,Health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-2087782038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